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C3" w:rsidRDefault="00A00F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18606B" wp14:editId="1D37AD5C">
            <wp:simplePos x="0" y="0"/>
            <wp:positionH relativeFrom="margin">
              <wp:posOffset>-1013460</wp:posOffset>
            </wp:positionH>
            <wp:positionV relativeFrom="margin">
              <wp:posOffset>-682625</wp:posOffset>
            </wp:positionV>
            <wp:extent cx="7396480" cy="10182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6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48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FC3" w:rsidRDefault="00A00FC3" w:rsidP="00A00FC3">
      <w:pPr>
        <w:pStyle w:val="Style1"/>
        <w:widowControl/>
        <w:spacing w:line="240" w:lineRule="auto"/>
        <w:ind w:left="7296"/>
        <w:jc w:val="left"/>
        <w:rPr>
          <w:rStyle w:val="FontStyle11"/>
        </w:rPr>
      </w:pPr>
      <w:proofErr w:type="gramStart"/>
      <w:r>
        <w:rPr>
          <w:rStyle w:val="FontStyle11"/>
        </w:rPr>
        <w:lastRenderedPageBreak/>
        <w:t>Утвержден</w:t>
      </w:r>
      <w:proofErr w:type="gramEnd"/>
      <w:r>
        <w:rPr>
          <w:rStyle w:val="FontStyle11"/>
        </w:rPr>
        <w:t xml:space="preserve"> Постановлением главы </w:t>
      </w:r>
    </w:p>
    <w:p w:rsidR="00A00FC3" w:rsidRDefault="00A00FC3" w:rsidP="00A00FC3">
      <w:pPr>
        <w:pStyle w:val="Style1"/>
        <w:widowControl/>
        <w:spacing w:line="240" w:lineRule="auto"/>
        <w:ind w:left="7296"/>
        <w:jc w:val="left"/>
        <w:rPr>
          <w:rStyle w:val="FontStyle11"/>
        </w:rPr>
      </w:pPr>
      <w:r>
        <w:rPr>
          <w:rStyle w:val="FontStyle11"/>
        </w:rPr>
        <w:t xml:space="preserve">сельского поселения </w:t>
      </w:r>
      <w:proofErr w:type="spellStart"/>
      <w:r>
        <w:rPr>
          <w:rStyle w:val="FontStyle11"/>
        </w:rPr>
        <w:t>Внуковско</w:t>
      </w:r>
      <w:proofErr w:type="spellEnd"/>
      <w:r>
        <w:rPr>
          <w:rStyle w:val="FontStyle11"/>
        </w:rPr>
        <w:t xml:space="preserve"> от 17.08.2012 № 6</w:t>
      </w:r>
    </w:p>
    <w:p w:rsidR="00A00FC3" w:rsidRDefault="00A00FC3" w:rsidP="00A00FC3">
      <w:pPr>
        <w:pStyle w:val="Style2"/>
        <w:widowControl/>
        <w:spacing w:before="226"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Порядок санкционирования расходов муниципальных бюджетных и автономных учрежде</w:t>
      </w:r>
      <w:r>
        <w:rPr>
          <w:rStyle w:val="FontStyle12"/>
          <w:sz w:val="26"/>
          <w:szCs w:val="26"/>
        </w:rPr>
        <w:softHyphen/>
        <w:t>ний, источником финансового обеспечения которых являются субсидии, полученные в со</w:t>
      </w:r>
      <w:r>
        <w:rPr>
          <w:rStyle w:val="FontStyle12"/>
          <w:sz w:val="26"/>
          <w:szCs w:val="26"/>
        </w:rPr>
        <w:softHyphen/>
        <w:t>ответствии с абзацем вторым пункта 1 статьи 78.1 Бюджетного кодекса Российской Феде</w:t>
      </w:r>
      <w:r>
        <w:rPr>
          <w:rStyle w:val="FontStyle12"/>
          <w:sz w:val="26"/>
          <w:szCs w:val="26"/>
        </w:rPr>
        <w:softHyphen/>
        <w:t>рации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before="226" w:line="276" w:lineRule="auto"/>
        <w:ind w:firstLine="552"/>
        <w:rPr>
          <w:rStyle w:val="FontStyle13"/>
          <w:sz w:val="26"/>
          <w:szCs w:val="26"/>
        </w:rPr>
      </w:pPr>
      <w:proofErr w:type="gramStart"/>
      <w:r>
        <w:rPr>
          <w:rStyle w:val="FontStyle13"/>
          <w:sz w:val="26"/>
          <w:szCs w:val="26"/>
        </w:rPr>
        <w:t>Настоящий Порядок разработан в соответствии с абзацем вторым пункта 1 статьи 78.1 Бюджетного кодекса Российской Федерации, частью 3.7 статьи 2 Федерального закона от 03.11.2006 №174-ФЗ «Об автономных учреждениях», частью 16 статьи 30 Федерального законе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</w:t>
      </w:r>
      <w:r>
        <w:rPr>
          <w:rStyle w:val="FontStyle13"/>
          <w:sz w:val="26"/>
          <w:szCs w:val="26"/>
        </w:rPr>
        <w:softHyphen/>
        <w:t>ных) учреждений» и устанавливает порядок санкционирования оплаты</w:t>
      </w:r>
      <w:proofErr w:type="gramEnd"/>
      <w:r>
        <w:rPr>
          <w:rStyle w:val="FontStyle13"/>
          <w:sz w:val="26"/>
          <w:szCs w:val="26"/>
        </w:rPr>
        <w:t xml:space="preserve"> денежных обязательств муниципальных бюджетных и автономных учреждений сельского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 xml:space="preserve"> (далее </w:t>
      </w:r>
      <w:proofErr w:type="gramStart"/>
      <w:r>
        <w:rPr>
          <w:rStyle w:val="FontStyle13"/>
          <w:sz w:val="26"/>
          <w:szCs w:val="26"/>
        </w:rPr>
        <w:t>-у</w:t>
      </w:r>
      <w:proofErr w:type="gramEnd"/>
      <w:r>
        <w:rPr>
          <w:rStyle w:val="FontStyle13"/>
          <w:sz w:val="26"/>
          <w:szCs w:val="26"/>
        </w:rPr>
        <w:t>чреждения), источником финансового обеспечения которых являются субсидии, предоставлен</w:t>
      </w:r>
      <w:r>
        <w:rPr>
          <w:rStyle w:val="FontStyle13"/>
          <w:sz w:val="26"/>
          <w:szCs w:val="26"/>
        </w:rPr>
        <w:softHyphen/>
        <w:t>ные учреждениям на цели, не связанные с финансовым обеспечением выполнения муниципаль</w:t>
      </w:r>
      <w:r>
        <w:rPr>
          <w:rStyle w:val="FontStyle13"/>
          <w:sz w:val="26"/>
          <w:szCs w:val="26"/>
        </w:rPr>
        <w:softHyphen/>
        <w:t>ного задания на оказание муниципальных услуг (выполнение работ) (далее - целевые субсидии).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before="5"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Операции с целевыми субсидиями, поступающими учреждению, учитываются на отдель</w:t>
      </w:r>
      <w:r>
        <w:rPr>
          <w:rStyle w:val="FontStyle13"/>
          <w:sz w:val="26"/>
          <w:szCs w:val="26"/>
        </w:rPr>
        <w:softHyphen/>
        <w:t>ном лицевом счете, открываемом учреждению в Управлении Федерального казначейства по г. Москве в порядке, установленном Федеральным казначейством.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 xml:space="preserve"> формирует и предоставляет в Управле</w:t>
      </w:r>
      <w:r>
        <w:rPr>
          <w:rStyle w:val="FontStyle13"/>
          <w:sz w:val="26"/>
          <w:szCs w:val="26"/>
        </w:rPr>
        <w:softHyphen/>
        <w:t>ние Федерального казначейства по г. Москве (далее - УФК) перечень целевых субсидий на со</w:t>
      </w:r>
      <w:r>
        <w:rPr>
          <w:rStyle w:val="FontStyle13"/>
          <w:sz w:val="26"/>
          <w:szCs w:val="26"/>
        </w:rPr>
        <w:softHyphen/>
        <w:t>ответствующий финансовый год (приложение к Порядку).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before="5"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Перечень целевых субсидий формируется в разрезе аналитических кодов, присвоенных им для учета операций с целевыми субсидиями (далее - код субсидии) по каждой целевой субси</w:t>
      </w:r>
      <w:r>
        <w:rPr>
          <w:rStyle w:val="FontStyle13"/>
          <w:sz w:val="26"/>
          <w:szCs w:val="26"/>
        </w:rPr>
        <w:softHyphen/>
        <w:t xml:space="preserve">дии. При внесении в течение финансового года изменений в перечень целевых субсидий в части его дополнения администрация сельского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 xml:space="preserve"> формирует и предоставляет в УФК дополнение в перечень целевых субсидий. Перечень предоставляется на бумажном носите</w:t>
      </w:r>
      <w:r>
        <w:rPr>
          <w:rStyle w:val="FontStyle13"/>
          <w:sz w:val="26"/>
          <w:szCs w:val="26"/>
        </w:rPr>
        <w:softHyphen/>
        <w:t>ле.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Для осуществления санкционирования оплаты денежных обязательств учреждений, ис</w:t>
      </w:r>
      <w:r>
        <w:rPr>
          <w:rStyle w:val="FontStyle13"/>
          <w:sz w:val="26"/>
          <w:szCs w:val="26"/>
        </w:rPr>
        <w:softHyphen/>
        <w:t>точником финансового обеспечения которых являются целевые средства, в администрацию сель</w:t>
      </w:r>
      <w:r>
        <w:rPr>
          <w:rStyle w:val="FontStyle13"/>
          <w:sz w:val="26"/>
          <w:szCs w:val="26"/>
        </w:rPr>
        <w:softHyphen/>
        <w:t xml:space="preserve">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 xml:space="preserve"> учреждением представляются сведения об операциях с целевыми субсидиями, предоставленными учреждению на соответствующий финансовый год, по форме, утвержденной администрацией сельского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 xml:space="preserve"> (далее - Сведения).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lastRenderedPageBreak/>
        <w:t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При внесении изменений в Сведения учреждение предоставляет в соответствии с на</w:t>
      </w:r>
      <w:r>
        <w:rPr>
          <w:rStyle w:val="FontStyle13"/>
          <w:sz w:val="26"/>
          <w:szCs w:val="26"/>
        </w:rPr>
        <w:softHyphen/>
        <w:t xml:space="preserve">стоящим Порядком в администрацию сельского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 xml:space="preserve"> Сведения, в которых ука</w:t>
      </w:r>
      <w:r>
        <w:rPr>
          <w:rStyle w:val="FontStyle13"/>
          <w:sz w:val="26"/>
          <w:szCs w:val="26"/>
        </w:rPr>
        <w:softHyphen/>
        <w:t>зываются показатели с учетом внесенных в Сведения изменений.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Операции по целевым расходам осуществляются в пределах средств, отраженных по со</w:t>
      </w:r>
      <w:r>
        <w:rPr>
          <w:rStyle w:val="FontStyle13"/>
          <w:sz w:val="26"/>
          <w:szCs w:val="26"/>
        </w:rPr>
        <w:softHyphen/>
        <w:t>ответствующему коду субсидии на отдельном лицевом счете по целевым субсидиям.</w:t>
      </w:r>
    </w:p>
    <w:p w:rsidR="00A00FC3" w:rsidRDefault="00A00FC3" w:rsidP="00A00FC3">
      <w:pPr>
        <w:pStyle w:val="Style3"/>
        <w:widowControl/>
        <w:numPr>
          <w:ilvl w:val="0"/>
          <w:numId w:val="1"/>
        </w:numPr>
        <w:tabs>
          <w:tab w:val="left" w:pos="806"/>
        </w:tabs>
        <w:spacing w:before="5"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Неиспользованные в текущем финансовом году остатки средств субсидии подлежат воз</w:t>
      </w:r>
      <w:r>
        <w:rPr>
          <w:rStyle w:val="FontStyle13"/>
          <w:sz w:val="26"/>
          <w:szCs w:val="26"/>
        </w:rPr>
        <w:softHyphen/>
        <w:t xml:space="preserve">врату в бюджет сельского поселения </w:t>
      </w:r>
      <w:proofErr w:type="spellStart"/>
      <w:proofErr w:type="gramStart"/>
      <w:r>
        <w:rPr>
          <w:rStyle w:val="FontStyle13"/>
          <w:sz w:val="26"/>
          <w:szCs w:val="26"/>
        </w:rPr>
        <w:t>Внуковское</w:t>
      </w:r>
      <w:proofErr w:type="spellEnd"/>
      <w:proofErr w:type="gramEnd"/>
      <w:r>
        <w:rPr>
          <w:rStyle w:val="FontStyle13"/>
          <w:sz w:val="26"/>
          <w:szCs w:val="26"/>
        </w:rPr>
        <w:t xml:space="preserve"> в порядке и сроки, установленные администра</w:t>
      </w:r>
      <w:r>
        <w:rPr>
          <w:rStyle w:val="FontStyle13"/>
          <w:sz w:val="26"/>
          <w:szCs w:val="26"/>
        </w:rPr>
        <w:softHyphen/>
        <w:t xml:space="preserve">цией сельского поселения </w:t>
      </w:r>
      <w:proofErr w:type="spellStart"/>
      <w:r>
        <w:rPr>
          <w:rStyle w:val="FontStyle13"/>
          <w:sz w:val="26"/>
          <w:szCs w:val="26"/>
        </w:rPr>
        <w:t>Внуковское</w:t>
      </w:r>
      <w:proofErr w:type="spellEnd"/>
      <w:r>
        <w:rPr>
          <w:rStyle w:val="FontStyle13"/>
          <w:sz w:val="26"/>
          <w:szCs w:val="26"/>
        </w:rPr>
        <w:t>.</w:t>
      </w:r>
    </w:p>
    <w:p w:rsidR="00A00FC3" w:rsidRDefault="00A00FC3" w:rsidP="00A00FC3">
      <w:pPr>
        <w:pStyle w:val="Style3"/>
        <w:widowControl/>
        <w:tabs>
          <w:tab w:val="left" w:pos="936"/>
        </w:tabs>
        <w:spacing w:line="276" w:lineRule="auto"/>
        <w:ind w:firstLine="581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10.</w:t>
      </w:r>
      <w:r>
        <w:rPr>
          <w:rStyle w:val="FontStyle13"/>
          <w:sz w:val="26"/>
          <w:szCs w:val="26"/>
        </w:rPr>
        <w:tab/>
        <w:t>При санкционировании оплаты денежных обязательств учреждения УФК осуществляет</w:t>
      </w:r>
      <w:r>
        <w:rPr>
          <w:rStyle w:val="FontStyle13"/>
          <w:sz w:val="26"/>
          <w:szCs w:val="26"/>
        </w:rPr>
        <w:br/>
        <w:t>проверку платежных документов, представленных учреждением, на наличие в них следующих</w:t>
      </w:r>
      <w:r>
        <w:rPr>
          <w:rStyle w:val="FontStyle13"/>
          <w:sz w:val="26"/>
          <w:szCs w:val="26"/>
        </w:rPr>
        <w:br/>
        <w:t>реквизитов и показателей:</w:t>
      </w:r>
    </w:p>
    <w:p w:rsidR="00A00FC3" w:rsidRDefault="00A00FC3" w:rsidP="00A00FC3">
      <w:pPr>
        <w:pStyle w:val="Style4"/>
        <w:widowControl/>
        <w:spacing w:before="5" w:line="276" w:lineRule="auto"/>
        <w:ind w:left="566" w:firstLine="0"/>
        <w:jc w:val="left"/>
        <w:rPr>
          <w:rStyle w:val="FontStyle13"/>
          <w:sz w:val="26"/>
          <w:szCs w:val="26"/>
        </w:rPr>
      </w:pPr>
      <w:proofErr w:type="gramStart"/>
      <w:r>
        <w:rPr>
          <w:rStyle w:val="FontStyle13"/>
          <w:sz w:val="26"/>
          <w:szCs w:val="26"/>
        </w:rPr>
        <w:t>номера соответствующего лицевого счета, открытого учреждению;</w:t>
      </w:r>
      <w:proofErr w:type="gramEnd"/>
    </w:p>
    <w:p w:rsidR="00A00FC3" w:rsidRDefault="00A00FC3" w:rsidP="00A00FC3">
      <w:pPr>
        <w:pStyle w:val="Style4"/>
        <w:widowControl/>
        <w:spacing w:line="276" w:lineRule="auto"/>
        <w:rPr>
          <w:rStyle w:val="FontStyle13"/>
          <w:sz w:val="26"/>
          <w:szCs w:val="26"/>
        </w:rPr>
      </w:pPr>
      <w:proofErr w:type="gramStart"/>
      <w:r>
        <w:rPr>
          <w:rStyle w:val="FontStyle13"/>
          <w:sz w:val="26"/>
          <w:szCs w:val="26"/>
        </w:rPr>
        <w:t>суммы выплаты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A00FC3" w:rsidRDefault="00A00FC3" w:rsidP="00A00FC3">
      <w:pPr>
        <w:pStyle w:val="Style4"/>
        <w:widowControl/>
        <w:spacing w:before="10"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суммы выплаты в валюте Российской Федерации, в рублевом эквиваленте, исчисленном на дату оформления платежного документа;</w:t>
      </w:r>
    </w:p>
    <w:p w:rsidR="00A00FC3" w:rsidRDefault="00A00FC3" w:rsidP="00A00FC3">
      <w:pPr>
        <w:pStyle w:val="Style4"/>
        <w:widowControl/>
        <w:spacing w:line="276" w:lineRule="auto"/>
        <w:ind w:left="542" w:firstLine="0"/>
        <w:jc w:val="left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суммы налога на добавленную стоимость (при наличии);</w:t>
      </w:r>
    </w:p>
    <w:p w:rsidR="00A00FC3" w:rsidRDefault="00A00FC3" w:rsidP="00A00FC3">
      <w:pPr>
        <w:pStyle w:val="Style4"/>
        <w:widowControl/>
        <w:spacing w:line="276" w:lineRule="auto"/>
        <w:ind w:left="542" w:firstLine="0"/>
        <w:jc w:val="left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наименования, банковских реквизитов, идентификационного номера налогоплательщика (ИНН) и кода причины постановки на учет (КПП) учреждения по платежному документу; номера и серии чека (при наличном способе оплаты денежного обязательства); даты чека (при наличном способе оплаты денежного обязательства);</w:t>
      </w:r>
    </w:p>
    <w:p w:rsidR="00A00FC3" w:rsidRDefault="00A00FC3" w:rsidP="00A00FC3">
      <w:pPr>
        <w:pStyle w:val="Style4"/>
        <w:widowControl/>
        <w:spacing w:line="276" w:lineRule="auto"/>
        <w:ind w:firstLine="538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данных для осуществления налоговых и иных обязательных платежей в бюджеты бюджет</w:t>
      </w:r>
      <w:r>
        <w:rPr>
          <w:rStyle w:val="FontStyle13"/>
          <w:sz w:val="26"/>
          <w:szCs w:val="26"/>
        </w:rPr>
        <w:softHyphen/>
        <w:t>ной системы Российской Федерации (при необходимости);</w:t>
      </w:r>
    </w:p>
    <w:p w:rsidR="00A00FC3" w:rsidRDefault="00A00FC3" w:rsidP="00A00FC3">
      <w:pPr>
        <w:pStyle w:val="Style4"/>
        <w:widowControl/>
        <w:spacing w:line="276" w:lineRule="auto"/>
        <w:ind w:firstLine="542"/>
        <w:rPr>
          <w:rStyle w:val="FontStyle13"/>
          <w:sz w:val="26"/>
          <w:szCs w:val="26"/>
        </w:rPr>
      </w:pPr>
      <w:proofErr w:type="gramStart"/>
      <w:r>
        <w:rPr>
          <w:rStyle w:val="FontStyle13"/>
          <w:sz w:val="26"/>
          <w:szCs w:val="26"/>
        </w:rPr>
        <w:t>реквизитов (номер, дата) и предмета гражданско-правового договора (далее - договор) и (или) реквизитов (тип, номер, дата) документа, подтверждающего возникновение денежного обя</w:t>
      </w:r>
      <w:r>
        <w:rPr>
          <w:rStyle w:val="FontStyle13"/>
          <w:sz w:val="26"/>
          <w:szCs w:val="26"/>
        </w:rPr>
        <w:softHyphen/>
        <w:t>зательства, в платежных документах для осуществления безналичных расчетов.</w:t>
      </w:r>
      <w:proofErr w:type="gramEnd"/>
    </w:p>
    <w:p w:rsidR="00A00FC3" w:rsidRDefault="00A00FC3" w:rsidP="00A00FC3">
      <w:pPr>
        <w:pStyle w:val="Style4"/>
        <w:widowControl/>
        <w:spacing w:line="276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Кроме того, платежные документы, представленные учреждением, проверяются на соответ</w:t>
      </w:r>
      <w:r>
        <w:rPr>
          <w:rStyle w:val="FontStyle13"/>
          <w:sz w:val="26"/>
          <w:szCs w:val="26"/>
        </w:rPr>
        <w:softHyphen/>
        <w:t>ствие подписей и оттиска печати образцам в карточке с образцами подписей и оттиска печати.</w:t>
      </w:r>
    </w:p>
    <w:p w:rsidR="00A00FC3" w:rsidRDefault="00A00FC3" w:rsidP="00A00FC3">
      <w:pPr>
        <w:pStyle w:val="Style3"/>
        <w:widowControl/>
        <w:tabs>
          <w:tab w:val="left" w:pos="946"/>
        </w:tabs>
        <w:spacing w:line="276" w:lineRule="auto"/>
        <w:ind w:firstLine="581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11.</w:t>
      </w:r>
      <w:r>
        <w:rPr>
          <w:rStyle w:val="FontStyle13"/>
          <w:sz w:val="26"/>
          <w:szCs w:val="26"/>
        </w:rPr>
        <w:tab/>
        <w:t>При санкционировании оплаты денежных обязательств учреждения УФК осуществляет</w:t>
      </w:r>
      <w:r>
        <w:rPr>
          <w:rStyle w:val="FontStyle13"/>
          <w:sz w:val="26"/>
          <w:szCs w:val="26"/>
        </w:rPr>
        <w:br/>
      </w:r>
      <w:r>
        <w:rPr>
          <w:rStyle w:val="FontStyle13"/>
          <w:sz w:val="26"/>
          <w:szCs w:val="26"/>
        </w:rPr>
        <w:lastRenderedPageBreak/>
        <w:t>проверку платежных и иных документов, представленных учреждением в соответствии с настоящим Порядком, по следующим направлениям:</w:t>
      </w:r>
    </w:p>
    <w:p w:rsidR="00A00FC3" w:rsidRDefault="00A00FC3" w:rsidP="00A00FC3">
      <w:pPr>
        <w:pStyle w:val="Style4"/>
        <w:widowControl/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коды КОСГУ, указанные в платежном документе, должны соответствовать кодам КОСГУ, действующим в текущем финансовом году на момент представления документа;</w:t>
      </w:r>
    </w:p>
    <w:p w:rsidR="00A00FC3" w:rsidRDefault="00A00FC3" w:rsidP="00A00FC3">
      <w:pPr>
        <w:pStyle w:val="Style4"/>
        <w:widowControl/>
        <w:spacing w:line="276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коды КОСГУ, указанные в платежном документе, должны соответствовать коду КОСГУ, указанному в Сведениях по соответствующему коду субсидии;</w:t>
      </w:r>
    </w:p>
    <w:p w:rsidR="00A00FC3" w:rsidRDefault="00A00FC3" w:rsidP="00A00FC3">
      <w:pPr>
        <w:pStyle w:val="Style4"/>
        <w:widowControl/>
        <w:spacing w:line="276" w:lineRule="auto"/>
        <w:ind w:firstLine="54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коды КОСГУ, указанные в платежном документе, должны соответствовать текстовому на</w:t>
      </w:r>
      <w:r>
        <w:rPr>
          <w:rStyle w:val="FontStyle13"/>
          <w:sz w:val="26"/>
          <w:szCs w:val="26"/>
        </w:rPr>
        <w:softHyphen/>
        <w:t>значению платежа в соответствии с утвержденным Министерством финансов Российской Феде</w:t>
      </w:r>
      <w:r>
        <w:rPr>
          <w:rStyle w:val="FontStyle13"/>
          <w:sz w:val="26"/>
          <w:szCs w:val="26"/>
        </w:rPr>
        <w:softHyphen/>
        <w:t>рации порядком применения бюджетной классификации Российской Федерации;</w:t>
      </w:r>
    </w:p>
    <w:p w:rsidR="00A00FC3" w:rsidRDefault="00A00FC3" w:rsidP="00A00FC3">
      <w:pPr>
        <w:pStyle w:val="Style4"/>
        <w:widowControl/>
        <w:spacing w:line="276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 соответствие содержания операции по оплате денежных обязательств на поставки това</w:t>
      </w:r>
      <w:r>
        <w:rPr>
          <w:rStyle w:val="FontStyle13"/>
          <w:sz w:val="26"/>
          <w:szCs w:val="26"/>
        </w:rPr>
        <w:softHyphen/>
        <w:t>ров, выполнение работ, оказание услуг, исходя из документов, подтверждающих денежные обя</w:t>
      </w:r>
      <w:r>
        <w:rPr>
          <w:rStyle w:val="FontStyle13"/>
          <w:sz w:val="26"/>
          <w:szCs w:val="26"/>
        </w:rPr>
        <w:softHyphen/>
        <w:t>зательства, коду КОСГУ и содержанию текста назначения платежа, указанному в платежном до</w:t>
      </w:r>
      <w:r>
        <w:rPr>
          <w:rStyle w:val="FontStyle13"/>
          <w:sz w:val="26"/>
          <w:szCs w:val="26"/>
        </w:rPr>
        <w:softHyphen/>
        <w:t>кументе;</w:t>
      </w:r>
    </w:p>
    <w:p w:rsidR="00A00FC3" w:rsidRDefault="00A00FC3" w:rsidP="00A00FC3">
      <w:pPr>
        <w:pStyle w:val="Style4"/>
        <w:widowControl/>
        <w:spacing w:line="276" w:lineRule="auto"/>
        <w:ind w:firstLine="54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на соответствие содержания платежного документа и документов, подтверждающих воз</w:t>
      </w:r>
      <w:r>
        <w:rPr>
          <w:rStyle w:val="FontStyle13"/>
          <w:sz w:val="26"/>
          <w:szCs w:val="26"/>
        </w:rPr>
        <w:softHyphen/>
        <w:t>никновение денежного обязательства, условиям договора;</w:t>
      </w:r>
    </w:p>
    <w:p w:rsidR="00A00FC3" w:rsidRDefault="00A00FC3" w:rsidP="00A00FC3">
      <w:pPr>
        <w:pStyle w:val="Style4"/>
        <w:widowControl/>
        <w:spacing w:line="276" w:lineRule="auto"/>
        <w:ind w:firstLine="552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на </w:t>
      </w:r>
      <w:proofErr w:type="spellStart"/>
      <w:r>
        <w:rPr>
          <w:rStyle w:val="FontStyle13"/>
          <w:sz w:val="26"/>
          <w:szCs w:val="26"/>
        </w:rPr>
        <w:t>непревышение</w:t>
      </w:r>
      <w:proofErr w:type="spellEnd"/>
      <w:r>
        <w:rPr>
          <w:rStyle w:val="FontStyle13"/>
          <w:sz w:val="26"/>
          <w:szCs w:val="26"/>
        </w:rPr>
        <w:t xml:space="preserve"> авансового платежа над размером авансового платежа, установленного договором;</w:t>
      </w:r>
    </w:p>
    <w:p w:rsidR="00A00FC3" w:rsidRDefault="00A00FC3" w:rsidP="00A00FC3">
      <w:pPr>
        <w:pStyle w:val="Style4"/>
        <w:widowControl/>
        <w:spacing w:line="276" w:lineRule="auto"/>
        <w:ind w:firstLine="557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на </w:t>
      </w:r>
      <w:proofErr w:type="spellStart"/>
      <w:r>
        <w:rPr>
          <w:rStyle w:val="FontStyle13"/>
          <w:sz w:val="26"/>
          <w:szCs w:val="26"/>
        </w:rPr>
        <w:t>непревышение</w:t>
      </w:r>
      <w:proofErr w:type="spellEnd"/>
      <w:r>
        <w:rPr>
          <w:rStyle w:val="FontStyle13"/>
          <w:sz w:val="26"/>
          <w:szCs w:val="26"/>
        </w:rPr>
        <w:t xml:space="preserve"> сумм, указанных в платежном документе, над остатком средств на от</w:t>
      </w:r>
      <w:r>
        <w:rPr>
          <w:rStyle w:val="FontStyle13"/>
          <w:sz w:val="26"/>
          <w:szCs w:val="26"/>
        </w:rPr>
        <w:softHyphen/>
        <w:t>дельном лицевом счете учреждения, разрешенным к использованию;</w:t>
      </w:r>
    </w:p>
    <w:p w:rsidR="00A00FC3" w:rsidRDefault="00A00FC3" w:rsidP="00A00FC3">
      <w:pPr>
        <w:pStyle w:val="Style4"/>
        <w:widowControl/>
        <w:spacing w:line="276" w:lineRule="auto"/>
        <w:rPr>
          <w:rStyle w:val="FontStyle13"/>
          <w:sz w:val="26"/>
          <w:szCs w:val="26"/>
        </w:rPr>
      </w:pPr>
      <w:proofErr w:type="gramStart"/>
      <w:r>
        <w:rPr>
          <w:rStyle w:val="FontStyle13"/>
          <w:sz w:val="26"/>
          <w:szCs w:val="26"/>
        </w:rPr>
        <w:t xml:space="preserve">на </w:t>
      </w:r>
      <w:proofErr w:type="spellStart"/>
      <w:r>
        <w:rPr>
          <w:rStyle w:val="FontStyle13"/>
          <w:sz w:val="26"/>
          <w:szCs w:val="26"/>
        </w:rPr>
        <w:t>непревышение</w:t>
      </w:r>
      <w:proofErr w:type="spellEnd"/>
      <w:r>
        <w:rPr>
          <w:rStyle w:val="FontStyle13"/>
          <w:sz w:val="26"/>
          <w:szCs w:val="26"/>
        </w:rPr>
        <w:t xml:space="preserve"> сумм, указанных в платежном документе, над суммой остатка планируе</w:t>
      </w:r>
      <w:r>
        <w:rPr>
          <w:rStyle w:val="FontStyle13"/>
          <w:sz w:val="26"/>
          <w:szCs w:val="26"/>
        </w:rPr>
        <w:softHyphen/>
        <w:t>мых расходов по соответствующему коду КОСГУ и соответствующему коду субсидии, учтенно</w:t>
      </w:r>
      <w:r>
        <w:rPr>
          <w:rStyle w:val="FontStyle13"/>
          <w:sz w:val="26"/>
          <w:szCs w:val="26"/>
        </w:rPr>
        <w:softHyphen/>
        <w:t>го на отдельном лицевом счете бюджетного учреждения и на отдельном лицевом счете автоном</w:t>
      </w:r>
      <w:r>
        <w:rPr>
          <w:rStyle w:val="FontStyle13"/>
          <w:sz w:val="26"/>
          <w:szCs w:val="26"/>
        </w:rPr>
        <w:softHyphen/>
        <w:t>ного учреждения, за исключением расходов учреждений по исполнению в установленном поряд</w:t>
      </w:r>
      <w:r>
        <w:rPr>
          <w:rStyle w:val="FontStyle13"/>
          <w:sz w:val="26"/>
          <w:szCs w:val="26"/>
        </w:rPr>
        <w:softHyphen/>
        <w:t>ке исполнительных документов, предусматривающих обращение взыскания на средства учреж</w:t>
      </w:r>
      <w:r>
        <w:rPr>
          <w:rStyle w:val="FontStyle13"/>
          <w:sz w:val="26"/>
          <w:szCs w:val="26"/>
        </w:rPr>
        <w:softHyphen/>
        <w:t>дения.</w:t>
      </w:r>
      <w:proofErr w:type="gramEnd"/>
    </w:p>
    <w:p w:rsidR="00A00FC3" w:rsidRDefault="00A00FC3" w:rsidP="00A00FC3">
      <w:pPr>
        <w:pStyle w:val="Style3"/>
        <w:widowControl/>
        <w:numPr>
          <w:ilvl w:val="0"/>
          <w:numId w:val="2"/>
        </w:numPr>
        <w:tabs>
          <w:tab w:val="left" w:pos="946"/>
        </w:tabs>
        <w:spacing w:line="276" w:lineRule="auto"/>
        <w:ind w:firstLine="581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УФК осуществляет процедуру санкционирования оплаты денежных обязательств учре</w:t>
      </w:r>
      <w:r>
        <w:rPr>
          <w:rStyle w:val="FontStyle13"/>
          <w:sz w:val="26"/>
          <w:szCs w:val="26"/>
        </w:rPr>
        <w:softHyphen/>
        <w:t>ждения не позднее третьего рабочего дня, следующего за днем представления учреждением фи</w:t>
      </w:r>
      <w:r>
        <w:rPr>
          <w:rStyle w:val="FontStyle13"/>
          <w:sz w:val="26"/>
          <w:szCs w:val="26"/>
        </w:rPr>
        <w:softHyphen/>
        <w:t>нансовых документов.</w:t>
      </w:r>
    </w:p>
    <w:p w:rsidR="00A00FC3" w:rsidRDefault="00A00FC3" w:rsidP="00A00FC3">
      <w:pPr>
        <w:pStyle w:val="Style3"/>
        <w:widowControl/>
        <w:numPr>
          <w:ilvl w:val="0"/>
          <w:numId w:val="2"/>
        </w:numPr>
        <w:tabs>
          <w:tab w:val="left" w:pos="946"/>
        </w:tabs>
        <w:spacing w:line="276" w:lineRule="auto"/>
        <w:ind w:firstLine="581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Ответственность за нарушение требований законодательства при принятии и исполне</w:t>
      </w:r>
      <w:r>
        <w:rPr>
          <w:rStyle w:val="FontStyle13"/>
          <w:sz w:val="26"/>
          <w:szCs w:val="26"/>
        </w:rPr>
        <w:softHyphen/>
        <w:t>нии денежных обязательств, за неполноту и недостоверность предоставленных документов, а также несоблюдении норм расходов несет учреждение.</w:t>
      </w:r>
    </w:p>
    <w:p w:rsidR="00D37815" w:rsidRDefault="00D37815">
      <w:bookmarkStart w:id="0" w:name="_GoBack"/>
      <w:bookmarkEnd w:id="0"/>
    </w:p>
    <w:sectPr w:rsidR="00D3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089"/>
    <w:multiLevelType w:val="singleLevel"/>
    <w:tmpl w:val="022ED7E4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6D63D6"/>
    <w:multiLevelType w:val="singleLevel"/>
    <w:tmpl w:val="90383500"/>
    <w:lvl w:ilvl="0">
      <w:start w:val="1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88"/>
    <w:rsid w:val="0010175C"/>
    <w:rsid w:val="00133F22"/>
    <w:rsid w:val="001B6051"/>
    <w:rsid w:val="003846C1"/>
    <w:rsid w:val="00516BBC"/>
    <w:rsid w:val="005208ED"/>
    <w:rsid w:val="006931E9"/>
    <w:rsid w:val="006A2466"/>
    <w:rsid w:val="0074156F"/>
    <w:rsid w:val="008B46B8"/>
    <w:rsid w:val="008F7B7C"/>
    <w:rsid w:val="00A00FC3"/>
    <w:rsid w:val="00BE3524"/>
    <w:rsid w:val="00C15921"/>
    <w:rsid w:val="00D37815"/>
    <w:rsid w:val="00D63988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B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00FC3"/>
    <w:pPr>
      <w:widowControl w:val="0"/>
      <w:autoSpaceDE w:val="0"/>
      <w:autoSpaceDN w:val="0"/>
      <w:adjustRightInd w:val="0"/>
      <w:spacing w:after="0" w:line="23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00FC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00FC3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0FC3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00FC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00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00FC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B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00FC3"/>
    <w:pPr>
      <w:widowControl w:val="0"/>
      <w:autoSpaceDE w:val="0"/>
      <w:autoSpaceDN w:val="0"/>
      <w:adjustRightInd w:val="0"/>
      <w:spacing w:after="0" w:line="23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00FC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00FC3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0FC3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00FC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A00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00FC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3</cp:revision>
  <dcterms:created xsi:type="dcterms:W3CDTF">2012-10-11T09:58:00Z</dcterms:created>
  <dcterms:modified xsi:type="dcterms:W3CDTF">2012-11-15T06:05:00Z</dcterms:modified>
</cp:coreProperties>
</file>